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emf" ContentType="image/x-emf"/>
  <Override PartName="/word/media/image4.emf" ContentType="image/x-emf"/>
  <Override PartName="/word/media/image3.png" ContentType="image/png"/>
  <Override PartName="/word/media/image2.png" ContentType="image/png"/>
  <Override PartName="/word/media/image1.emf" ContentType="image/x-emf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Анализ проведения Всероссийских проверочных работ в мае 2016г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письм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Федеральной службы по надзору в сфере образования и науки «О проведении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сероссийских проверочных работ </w:t>
      </w:r>
      <w:r>
        <w:rPr>
          <w:rFonts w:ascii="Times New Roman" w:hAnsi="Times New Roman"/>
          <w:sz w:val="28"/>
          <w:szCs w:val="28"/>
        </w:rPr>
        <w:t>в 2016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№02-</w:t>
      </w:r>
      <w:r>
        <w:rPr>
          <w:rFonts w:ascii="Times New Roman" w:hAnsi="Times New Roman"/>
          <w:sz w:val="28"/>
          <w:szCs w:val="28"/>
        </w:rPr>
        <w:t>82, приказами Министерства образования и науки Республики Адыгея «О проведении</w:t>
      </w:r>
      <w:r>
        <w:rPr>
          <w:rFonts w:ascii="Times New Roman" w:hAnsi="Times New Roman"/>
          <w:sz w:val="28"/>
          <w:szCs w:val="28"/>
        </w:rPr>
        <w:t xml:space="preserve"> Всероссийски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проверочны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работ» </w:t>
      </w:r>
      <w:r>
        <w:rPr>
          <w:rFonts w:ascii="Times New Roman" w:hAnsi="Times New Roman"/>
          <w:sz w:val="28"/>
          <w:szCs w:val="28"/>
        </w:rPr>
        <w:t>от 16.03 2016 № 411, «О мониторинге организации и проведения Всероссийских проверочных работ в 4 классах общеобразовательных организаций» от 11.05.2016 № 660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145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Адыгея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проведены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сероссийские проверочные работы (далее - «ВПР») по русскому языку </w:t>
      </w:r>
      <w:r>
        <w:rPr>
          <w:rFonts w:ascii="Times New Roman" w:hAnsi="Times New Roman"/>
          <w:sz w:val="28"/>
          <w:szCs w:val="28"/>
        </w:rPr>
        <w:t>(часть 1, 2),</w:t>
      </w:r>
      <w:r>
        <w:rPr>
          <w:rFonts w:ascii="Times New Roman" w:hAnsi="Times New Roman"/>
          <w:sz w:val="28"/>
          <w:szCs w:val="28"/>
        </w:rPr>
        <w:t xml:space="preserve"> математике </w:t>
      </w:r>
      <w:r>
        <w:rPr>
          <w:rFonts w:ascii="Times New Roman" w:hAnsi="Times New Roman"/>
          <w:sz w:val="28"/>
          <w:szCs w:val="28"/>
        </w:rPr>
        <w:t>и окружающему миру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 xml:space="preserve">х приняло участие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95%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4-х классов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ВПР </w:t>
      </w:r>
      <w:r>
        <w:rPr>
          <w:rFonts w:ascii="Times New Roman" w:hAnsi="Times New Roman"/>
          <w:sz w:val="28"/>
          <w:szCs w:val="28"/>
        </w:rPr>
        <w:t xml:space="preserve">не являются государственной итоговой аттестацией, </w:t>
      </w:r>
      <w:r>
        <w:rPr>
          <w:rFonts w:ascii="Times New Roman" w:hAnsi="Times New Roman"/>
          <w:sz w:val="28"/>
          <w:szCs w:val="28"/>
        </w:rPr>
        <w:t>их н</w:t>
      </w:r>
      <w:r>
        <w:rPr>
          <w:rFonts w:cs="Times New Roman" w:ascii="Times New Roman" w:hAnsi="Times New Roman"/>
          <w:sz w:val="28"/>
          <w:szCs w:val="28"/>
        </w:rPr>
        <w:t xml:space="preserve">азначение – оценить уровень общеобразовательной подготовки обучающихся 4 класса в соответствии с требованиями ФГОС.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роверочные работы позволяют осуществить диагностику достижения предметных и метапредметных результатов, уровня сформированности универсальных учебных действий и овладения межпредметными понятиями. </w:t>
      </w:r>
      <w:r/>
    </w:p>
    <w:p>
      <w:pPr>
        <w:pStyle w:val="Normal"/>
        <w:shd w:fill="FFFFFF" w:val="clear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Русский язык</w:t>
      </w:r>
      <w:r/>
    </w:p>
    <w:p>
      <w:pPr>
        <w:pStyle w:val="Normal"/>
        <w:shd w:fill="FFFFFF" w:val="clear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утвержденным Рособрнадзором графиком ВПР </w:t>
      </w:r>
      <w:r>
        <w:rPr>
          <w:rFonts w:cs="Times New Roman" w:ascii="Times New Roman" w:hAnsi="Times New Roman"/>
          <w:sz w:val="28"/>
          <w:szCs w:val="28"/>
        </w:rPr>
        <w:t>по русскому языку проводились в два этапа:</w:t>
      </w:r>
      <w:r>
        <w:rPr>
          <w:rFonts w:cs="Times New Roman" w:ascii="Times New Roman" w:hAnsi="Times New Roman"/>
          <w:sz w:val="28"/>
          <w:szCs w:val="28"/>
        </w:rPr>
        <w:t xml:space="preserve"> 11 </w:t>
      </w:r>
      <w:r>
        <w:rPr>
          <w:rFonts w:cs="Times New Roman" w:ascii="Times New Roman" w:hAnsi="Times New Roman"/>
          <w:sz w:val="28"/>
          <w:szCs w:val="28"/>
        </w:rPr>
        <w:t xml:space="preserve">и 13 </w:t>
      </w:r>
      <w:r>
        <w:rPr>
          <w:rFonts w:cs="Times New Roman" w:ascii="Times New Roman" w:hAnsi="Times New Roman"/>
          <w:sz w:val="28"/>
          <w:szCs w:val="28"/>
        </w:rPr>
        <w:t xml:space="preserve">мая 2016 года. </w:t>
      </w:r>
      <w:r>
        <w:rPr>
          <w:rFonts w:cs="Times New Roman" w:ascii="Times New Roman" w:hAnsi="Times New Roman"/>
          <w:sz w:val="28"/>
          <w:szCs w:val="28"/>
          <w:lang w:val="ru-RU"/>
        </w:rPr>
        <w:t>Первая</w:t>
      </w:r>
      <w:r>
        <w:rPr>
          <w:rFonts w:cs="Times New Roman" w:ascii="Times New Roman" w:hAnsi="Times New Roman"/>
          <w:sz w:val="28"/>
          <w:szCs w:val="28"/>
        </w:rPr>
        <w:t xml:space="preserve"> часть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содержала</w:t>
      </w:r>
      <w:r>
        <w:rPr>
          <w:rFonts w:cs="Times New Roman" w:ascii="Times New Roman" w:hAnsi="Times New Roman"/>
          <w:sz w:val="28"/>
          <w:szCs w:val="28"/>
        </w:rPr>
        <w:t xml:space="preserve"> 3 задания: диктант (задание 1) и 2 задания по написанному тексту. </w:t>
      </w:r>
      <w:r>
        <w:rPr>
          <w:rFonts w:cs="Times New Roman" w:ascii="Times New Roman" w:hAnsi="Times New Roman"/>
          <w:sz w:val="28"/>
          <w:szCs w:val="28"/>
          <w:lang w:val="ru-RU"/>
        </w:rPr>
        <w:t>Вторая</w:t>
      </w:r>
      <w:r>
        <w:rPr>
          <w:rFonts w:cs="Times New Roman" w:ascii="Times New Roman" w:hAnsi="Times New Roman"/>
          <w:sz w:val="28"/>
          <w:szCs w:val="28"/>
        </w:rPr>
        <w:t xml:space="preserve"> часть по русскому языку </w:t>
      </w:r>
      <w:r>
        <w:rPr>
          <w:rFonts w:cs="Times New Roman" w:ascii="Times New Roman" w:hAnsi="Times New Roman"/>
          <w:sz w:val="28"/>
          <w:szCs w:val="28"/>
        </w:rPr>
        <w:t>состояла из</w:t>
      </w:r>
      <w:r>
        <w:rPr>
          <w:rFonts w:cs="Times New Roman" w:ascii="Times New Roman" w:hAnsi="Times New Roman"/>
          <w:sz w:val="28"/>
          <w:szCs w:val="28"/>
        </w:rPr>
        <w:t xml:space="preserve"> 13 заданий, в том числе 10 заданий к приведённому в варианте проверочной работы тексту для чтения. Количество обучающихся, принявших участие в мониторинговых исследованиях </w:t>
      </w:r>
      <w:r>
        <w:rPr>
          <w:rFonts w:cs="Times New Roman" w:ascii="Times New Roman" w:hAnsi="Times New Roman"/>
          <w:i/>
          <w:sz w:val="28"/>
          <w:szCs w:val="28"/>
        </w:rPr>
        <w:t>по русскому языку</w:t>
      </w:r>
      <w:r>
        <w:rPr>
          <w:rFonts w:cs="Times New Roman" w:ascii="Times New Roman" w:hAnsi="Times New Roman"/>
          <w:sz w:val="28"/>
          <w:szCs w:val="28"/>
        </w:rPr>
        <w:t xml:space="preserve"> в рамках ВПР составляет 4331.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Анализ выполнения работы по критериям показывает, что наиболее успешно </w:t>
      </w:r>
      <w:r>
        <w:rPr>
          <w:rFonts w:cs="Times New Roman" w:ascii="Times New Roman" w:hAnsi="Times New Roman"/>
          <w:sz w:val="28"/>
          <w:szCs w:val="28"/>
        </w:rPr>
        <w:t xml:space="preserve">обучающиеся 4-х классов </w:t>
      </w:r>
      <w:r>
        <w:rPr>
          <w:rFonts w:cs="Times New Roman" w:ascii="Times New Roman" w:hAnsi="Times New Roman"/>
          <w:sz w:val="28"/>
          <w:szCs w:val="28"/>
        </w:rPr>
        <w:t xml:space="preserve">РА справились с заданиями, проверяющими умение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 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аходить главные и второстепенные члены предложения.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Труднее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четвероклассник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ам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оказалось справиться с исправлением орфографических ошибок.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Во второй части самый лучший показатель выполнения составили такие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задания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как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умени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аходить в тексте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 р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аспознавать грамматические признаки слов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 учетом совокупности выявленных признаков относить слова к определенной группе основных частей речи.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Наибольшее затруднение вызвало задание о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предел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ть тему и главную мысль текста,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разделить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тексты на смысловые части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состав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ть план,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задать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вопросы по содержанию текста и отве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тит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ь на них, подтверждая ответ примерами из текста,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 также п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ров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ести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морфологический разбор глаголов по предложенному в учебнике алгоритму.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Приведенная ниже гистограмма показывает, что обучающиеся Республики Адыгея показали схожую успешность выполнения заданий с показателями охватывающими всех участников мониторинговых исследований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в целом по России: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от 59% до 93% по всем критериям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18"/>
          <w:i/>
          <w:shadow w:val="false"/>
          <w:u w:val="none"/>
          <w:b w:val="false"/>
          <w:sz w:val="18"/>
          <w:i/>
          <w:b w:val="false"/>
          <w:em w:val="none"/>
          <w:rFonts w:ascii="Arial" w:hAnsi="Arial"/>
          <w:color w:val="000000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18"/>
          <w:i w:val="false"/>
          <w:shadow w:val="false"/>
          <w:u w:val="none"/>
          <w:b w:val="false"/>
          <w:sz w:val="18"/>
          <w:i w:val="false"/>
          <w:b w:val="false"/>
          <w:em w:val="none"/>
          <w:rFonts w:ascii="Mangal" w:hAnsi="Mangal"/>
          <w:color w:val="000000"/>
        </w:rPr>
      </w:pPr>
      <w:r>
        <w:rPr>
          <w:rFonts w:ascii="Mangal" w:hAnsi="Mang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Средний % выполнения заданий по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русскому языку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5761355" cy="3231515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i/>
          <w:iCs/>
          <w:sz w:val="28"/>
          <w:szCs w:val="28"/>
          <w:u w:val="none"/>
        </w:rPr>
        <w:t>К</w:t>
      </w:r>
      <w:r>
        <w:rPr>
          <w:rFonts w:cs="Times New Roman" w:ascii="Times New Roman" w:hAnsi="Times New Roman"/>
          <w:i/>
          <w:iCs/>
          <w:sz w:val="28"/>
          <w:szCs w:val="28"/>
          <w:u w:val="none"/>
        </w:rPr>
        <w:t>оличество баллов по каждому критерию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u w:val="none"/>
          <w:sz w:val="28"/>
          <w:i/>
          <w:szCs w:val="28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8"/>
          <w:szCs w:val="28"/>
          <w:u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u w:val="none"/>
          <w:sz w:val="28"/>
          <w:i/>
          <w:szCs w:val="28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8"/>
          <w:szCs w:val="28"/>
          <w:u w:val="none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97320" cy="48831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Из таблицы и гистограммы видно, что результаты, полученные обучающимися 4-х классов по русскому языку по показателю "Достижение планируемых результатов в соответствии с примерной основной образовательной программой начального общего образования" (ПООП НОО) соответствуют среднероссийским по критери</w:t>
      </w:r>
      <w:r>
        <w:rPr>
          <w:rFonts w:cs="Times New Roman" w:ascii="Times New Roman" w:hAnsi="Times New Roman"/>
          <w:sz w:val="28"/>
          <w:szCs w:val="28"/>
        </w:rPr>
        <w:t>ям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2,3(1), ниже среднероссийских </w:t>
      </w:r>
      <w:r>
        <w:rPr>
          <w:rFonts w:cs="Times New Roman" w:ascii="Times New Roman" w:hAnsi="Times New Roman"/>
          <w:sz w:val="28"/>
          <w:szCs w:val="28"/>
        </w:rPr>
        <w:t>в среднем от 1 до 4 % по критериям №№ 1К1, 3(2), 4, 6, 7, 8, 9, 10, 12К1, 12К2, 13К1, 13К2, 14К1, 14К2, 15К1, 15К2, 16К1; выше среднероссийских от 2 до 5% по критериям 1К2, 5, 11, 16К2.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Максимальный балл, который можно было набрать за выполнение всей работы составил — 43 балла. </w:t>
      </w:r>
      <w:r>
        <w:rPr>
          <w:rFonts w:cs="Times New Roman" w:ascii="Times New Roman" w:hAnsi="Times New Roman"/>
          <w:sz w:val="28"/>
          <w:szCs w:val="28"/>
        </w:rPr>
        <w:t xml:space="preserve">Лучший результат показали 117 обучающихся 4-х классов, набравших максимальное количество баллов. </w:t>
      </w:r>
      <w:r>
        <w:rPr>
          <w:rFonts w:cs="Times New Roman" w:ascii="Times New Roman" w:hAnsi="Times New Roman"/>
          <w:sz w:val="28"/>
          <w:szCs w:val="28"/>
        </w:rPr>
        <w:t xml:space="preserve">Рекомендации по переводу первичных баллов в отметки по пятибальной шкале </w:t>
      </w:r>
      <w:r>
        <w:rPr>
          <w:rFonts w:cs="Times New Roman" w:ascii="Times New Roman" w:hAnsi="Times New Roman"/>
          <w:sz w:val="28"/>
          <w:szCs w:val="28"/>
        </w:rPr>
        <w:t>представлен в таблице 1.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sz w:val="28"/>
          <w:i/>
          <w:szCs w:val="28"/>
          <w:rFonts w:ascii="TimesNewRoman,Italic" w:hAnsi="TimesNewRoman,Italic" w:cs="Times New Roman"/>
        </w:rPr>
      </w:pPr>
      <w:r>
        <w:rPr>
          <w:rFonts w:cs="Times New Roman" w:ascii="TimesNewRoman,Italic" w:hAnsi="TimesNewRoman,Italic"/>
          <w:i/>
          <w:sz w:val="28"/>
          <w:szCs w:val="28"/>
        </w:rPr>
        <w:t>Таблица перевода баллов в отметки по пятибалльной шкале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sz w:val="28"/>
          <w:i/>
          <w:szCs w:val="28"/>
          <w:rFonts w:ascii="TimesNewRoman,Italic" w:hAnsi="TimesNewRoman,Italic" w:cs="Times New Roman"/>
        </w:rPr>
      </w:pPr>
      <w:r>
        <w:rPr>
          <w:rFonts w:cs="Times New Roman" w:ascii="TimesNewRoman,Italic" w:hAnsi="TimesNewRoman,Italic"/>
          <w:i/>
          <w:sz w:val="28"/>
          <w:szCs w:val="28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 по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пятибалльной шкале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«2»</w:t>
            </w:r>
            <w:r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«3»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«4»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«5»</w:t>
            </w:r>
            <w:r/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Первичные баллы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57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0–13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14–24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25–34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35–43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перевода первичных баллов в отметки обучающиеся 4-х классов Республики Адыгея получили на 0,3% больше отметок «2» </w:t>
      </w:r>
      <w:r>
        <w:rPr>
          <w:rFonts w:cs="Times New Roman" w:ascii="Times New Roman" w:hAnsi="Times New Roman"/>
          <w:sz w:val="28"/>
          <w:szCs w:val="28"/>
        </w:rPr>
        <w:t>(3,1%)</w:t>
      </w:r>
      <w:r>
        <w:rPr>
          <w:rFonts w:cs="Times New Roman" w:ascii="Times New Roman" w:hAnsi="Times New Roman"/>
          <w:sz w:val="28"/>
          <w:szCs w:val="28"/>
        </w:rPr>
        <w:t xml:space="preserve">, чем в среднем по РФ </w:t>
      </w:r>
      <w:r>
        <w:rPr>
          <w:rFonts w:cs="Times New Roman" w:ascii="Times New Roman" w:hAnsi="Times New Roman"/>
          <w:sz w:val="28"/>
          <w:szCs w:val="28"/>
        </w:rPr>
        <w:t>(2,8%)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Значительно больше четвероклассников, показавших средние результаты: отметку «3» получили 17,4% (РФ — 14,9%:), отметку «4» получили 38% (РФ — 38,1%). Следует отметить, что количество обучающихся, написавших работу на «отлично» в РА (41,6%) превышает другие результаты, как и по России в целом (44,1%).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sz w:val="28"/>
          <w:i/>
          <w:szCs w:val="28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sz w:val="28"/>
          <w:i/>
          <w:szCs w:val="28"/>
          <w:iCs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Статистика по отметкам по русскому языку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804410" cy="1942465"/>
            <wp:effectExtent l="0" t="0" r="0" b="0"/>
            <wp:docPr id="3" name="Объект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Статистика по отметкам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 русскому языку в Р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еспублике Адыгея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показала, что на «2» балла написали </w:t>
      </w:r>
      <w:r>
        <w:rPr>
          <w:rFonts w:cs="Times New Roman" w:ascii="Times New Roman" w:hAnsi="Times New Roman"/>
          <w:sz w:val="28"/>
          <w:szCs w:val="28"/>
        </w:rPr>
        <w:t xml:space="preserve">134 </w:t>
      </w:r>
      <w:r>
        <w:rPr>
          <w:rFonts w:cs="Times New Roman" w:ascii="Times New Roman" w:hAnsi="Times New Roman"/>
          <w:sz w:val="28"/>
          <w:szCs w:val="28"/>
        </w:rPr>
        <w:t>чел.</w:t>
      </w:r>
      <w:r>
        <w:rPr>
          <w:rFonts w:cs="Times New Roman" w:ascii="Times New Roman" w:hAnsi="Times New Roman"/>
          <w:sz w:val="28"/>
          <w:szCs w:val="28"/>
        </w:rPr>
        <w:t xml:space="preserve">, на «3» балла — 752 </w:t>
      </w:r>
      <w:r>
        <w:rPr>
          <w:rFonts w:cs="Times New Roman" w:ascii="Times New Roman" w:hAnsi="Times New Roman"/>
          <w:sz w:val="28"/>
          <w:szCs w:val="28"/>
        </w:rPr>
        <w:t>чел.</w:t>
      </w:r>
      <w:r>
        <w:rPr>
          <w:rFonts w:cs="Times New Roman" w:ascii="Times New Roman" w:hAnsi="Times New Roman"/>
          <w:sz w:val="28"/>
          <w:szCs w:val="28"/>
        </w:rPr>
        <w:t xml:space="preserve">, на «4» балла написали 1644 чел, на «5» баллов — 1801 чел.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Таблица распределения групп баллов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 русскому языку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в %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em w:val="none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0"/>
        <w:gridCol w:w="1755"/>
        <w:gridCol w:w="1140"/>
        <w:gridCol w:w="1080"/>
        <w:gridCol w:w="1020"/>
        <w:gridCol w:w="1140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  <w:r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1144769</w:t>
            </w:r>
            <w:r/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Адыгея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Гиагинский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Кошехабльский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Майкопский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Тахтамукайский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Теучежский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Шовгеновский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Адыгейск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Майкоп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em w:val="none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94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5"/>
          <w:i w:val="false"/>
          <w:b w:val="false"/>
          <w:szCs w:val="28"/>
          <w:em w:val="none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Как видно из таблицы наименьшее количество работ с отметкой «2» в Теучежском районе — 1,7%, а наибольшее количество двоек в Гиагинском районе — 7,1%. Также следует отметить наиболее успешные работы, которых больше всего в городе Майкопе — 51,7%.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Статистика по отметкам в муниципальных образованиях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94"/>
        <w:jc w:val="both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drawing>
          <wp:inline distT="0" distB="0" distL="0" distR="0">
            <wp:extent cx="5668010" cy="3054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94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5"/>
          <w:i w:val="false"/>
          <w:b w:val="false"/>
          <w:szCs w:val="28"/>
          <w:em w:val="none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ачество обученности по русскому языку по всем муниципальным образованиям РА составило более 50%. По данному критерию можно выделить две группы. К первой группе, где 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ачество обученности составляет 50 — 75% относится Гиагинский район, Кошехабльский район, Майкопский район. Во вторую группу,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где 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ачество обученности составляет 75 — 100% входят Красногвардейский район, Тахтамукайский район, Теучежский район, Шовгеновский район, город Адыгейск и город Майкоп.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Математика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Всероссийские 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роверочн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ые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работ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 математике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проводились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17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2016г в соответствии с графиком.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Количество обучающихся, принявших участие в мониторинговых исследованиях состав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ило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529.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Проверочная работа по математике предполага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</w:t>
      </w:r>
      <w:r>
        <w:rPr>
          <w:rFonts w:ascii="Times New Roman" w:hAnsi="Times New Roman"/>
          <w:sz w:val="28"/>
          <w:szCs w:val="28"/>
        </w:rPr>
        <w:t xml:space="preserve">умение выполнять арифметические действия с числами и числовыми выражениями,  </w:t>
      </w:r>
      <w:r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решать текстовые задачи в три-четыре действия.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Анализ выполнения работы по критериям показывает, что наиболее успешно </w:t>
      </w:r>
      <w:r>
        <w:rPr>
          <w:rFonts w:cs="Times New Roman" w:ascii="Times New Roman" w:hAnsi="Times New Roman"/>
          <w:sz w:val="28"/>
          <w:szCs w:val="28"/>
        </w:rPr>
        <w:t xml:space="preserve">обучающиеся 4-х классов </w:t>
      </w:r>
      <w:r>
        <w:rPr>
          <w:rFonts w:cs="Times New Roman" w:ascii="Times New Roman" w:hAnsi="Times New Roman"/>
          <w:sz w:val="28"/>
          <w:szCs w:val="28"/>
        </w:rPr>
        <w:t xml:space="preserve">РА справились с заданиями, проверяющими умение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спользова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ть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начальны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математически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знани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я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для описания и объяснения окружающих предметов, процессов, явлений;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выполнять арифметические действия с числами и числовыми выражениями,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 также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мение работать с таблицами, схемами, графиками, диаграммами.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Приведенная ниже гистограмма показывает, что обучающиеся Республики Адыгея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справились с большинством заданий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по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математике также как четвероклассники в целом по РФ. Немного ниже оказались результаты по заданиям проверяющим умения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нтерпретировать информацию, полученную при проведении несложных исследований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 о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владение основами логического и алгоритмического мышления.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i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Средний % выполнения заданий по математике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NewRoman" w:hAnsi="TimesNewRoman"/>
        </w:rPr>
      </w:pPr>
      <w:r>
        <w:rPr>
          <w:rFonts w:ascii="TimesNewRoman" w:hAnsi="TimesNew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NewRoman" w:hAnsi="TimesNewRoman"/>
        </w:rPr>
      </w:pPr>
      <w:r>
        <w:rPr>
          <w:rFonts w:ascii="TimesNewRoman" w:hAnsi="TimesNew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NewRoman" w:hAnsi="TimesNewRoman"/>
        </w:rPr>
      </w:pPr>
      <w:r>
        <w:rPr>
          <w:rFonts w:ascii="TimesNewRoman" w:hAnsi="TimesNew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32250" cy="304800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5286375</wp:posOffset>
            </wp:positionH>
            <wp:positionV relativeFrom="paragraph">
              <wp:posOffset>104775</wp:posOffset>
            </wp:positionV>
            <wp:extent cx="386715" cy="394970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i/>
          <w:iCs/>
          <w:sz w:val="28"/>
          <w:szCs w:val="28"/>
        </w:rPr>
        <w:t>К</w:t>
      </w:r>
      <w:r>
        <w:rPr>
          <w:rFonts w:cs="Times New Roman" w:ascii="Times New Roman" w:hAnsi="Times New Roman"/>
          <w:i/>
          <w:iCs/>
          <w:sz w:val="28"/>
          <w:szCs w:val="28"/>
        </w:rPr>
        <w:t>оличество баллов по каждому критерию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47415" cy="488315"/>
            <wp:effectExtent l="0" t="0" r="0" b="0"/>
            <wp:wrapSquare wrapText="largest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Из таблицы и гистограммы видно, что результаты, полученные обучающимися 4-х классов по русскому языку по показателю "Достижение планируемых результатов в соответствии с примерной основной образовательной программой начального общего образования" (ПООП НОО) соответствуют среднероссийским по критери</w:t>
      </w:r>
      <w:r>
        <w:rPr>
          <w:rFonts w:cs="Times New Roman" w:ascii="Times New Roman" w:hAnsi="Times New Roman"/>
          <w:sz w:val="28"/>
          <w:szCs w:val="28"/>
        </w:rPr>
        <w:t>ям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№ 2, 9.2; ниже среднероссийских в среднем от 1 до 8 % по критериям №№ 1, 3, 5.1, 5.2, 6.1, 6.2, 9.1, 10; выше общероссийских от 1 до 3 % по критериям №№ 4, 7, 8, 11.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Максимальный балл, который можно было набрать за выполнение всей работы составил — 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 балл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Лучший результат показали </w:t>
      </w:r>
      <w:r>
        <w:rPr>
          <w:rFonts w:cs="Times New Roman" w:ascii="Times New Roman" w:hAnsi="Times New Roman"/>
          <w:sz w:val="28"/>
          <w:szCs w:val="28"/>
        </w:rPr>
        <w:t>221</w:t>
      </w:r>
      <w:r>
        <w:rPr>
          <w:rFonts w:cs="Times New Roman" w:ascii="Times New Roman" w:hAnsi="Times New Roman"/>
          <w:sz w:val="28"/>
          <w:szCs w:val="28"/>
        </w:rPr>
        <w:t xml:space="preserve"> обучающихся 4-х классов, набравших максимальное количество баллов. </w:t>
      </w:r>
      <w:r>
        <w:rPr>
          <w:rFonts w:cs="Times New Roman" w:ascii="Times New Roman" w:hAnsi="Times New Roman"/>
          <w:sz w:val="28"/>
          <w:szCs w:val="28"/>
        </w:rPr>
        <w:t xml:space="preserve">Минимальное количество баллов набрали 26 четвероклассников. </w:t>
      </w:r>
      <w:r>
        <w:rPr>
          <w:rFonts w:cs="Times New Roman" w:ascii="Times New Roman" w:hAnsi="Times New Roman"/>
          <w:sz w:val="28"/>
          <w:szCs w:val="28"/>
        </w:rPr>
        <w:t xml:space="preserve">Рекомендации по переводу первичных баллов в отметки по пятибальной шкале </w:t>
      </w:r>
      <w:r>
        <w:rPr>
          <w:rFonts w:cs="Times New Roman" w:ascii="Times New Roman" w:hAnsi="Times New Roman"/>
          <w:sz w:val="28"/>
          <w:szCs w:val="28"/>
        </w:rPr>
        <w:t>представлен в таблице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center"/>
        <w:rPr>
          <w:sz w:val="28"/>
          <w:i/>
          <w:sz w:val="28"/>
          <w:i/>
          <w:rFonts w:ascii="TimesNewRoman,Italic" w:hAnsi="TimesNewRoman,Italic"/>
        </w:rPr>
      </w:pPr>
      <w:r>
        <w:rPr>
          <w:rFonts w:ascii="TimesNewRoman,Italic" w:hAnsi="TimesNewRoman,Italic"/>
          <w:i/>
          <w:sz w:val="28"/>
        </w:rPr>
        <w:t>Таблица перевода баллов в отметки по пятибалльной шкале</w:t>
      </w:r>
      <w:r/>
    </w:p>
    <w:p>
      <w:pPr>
        <w:pStyle w:val="Normal"/>
        <w:jc w:val="left"/>
        <w:rPr>
          <w:sz w:val="28"/>
          <w:i/>
          <w:sz w:val="28"/>
          <w:i/>
          <w:rFonts w:ascii="TimesNewRoman,Italic" w:hAnsi="TimesNewRoman,Italic"/>
        </w:rPr>
      </w:pPr>
      <w:r>
        <w:rPr>
          <w:rFonts w:ascii="TimesNewRoman,Italic" w:hAnsi="TimesNewRoman,Italic"/>
          <w:i/>
          <w:sz w:val="28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 по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пятибалльной шкале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«2»</w:t>
            </w:r>
            <w:r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«3»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«4»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«5»</w:t>
            </w:r>
            <w:r/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Первичные баллы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0–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5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9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57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12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57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3–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18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результатам перевода первичных баллов в отметки обучающиеся 4-х классов Республики Адыгея получили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меньше отметок «2» (2,5%), чем в целом по России (2,6%). Немного выше процент  четвероклассников Республики Адыгея, получивших отметк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«3» (18,3% - РА, 15,9% - РФ)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«4» (27,7% - РА, 26,3% - РФ)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Следует также отметить количество «отличников», которых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республике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3,7% меньше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(51,5%)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чем в среднем 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РФ (55,2%), но значительно превышает все полученные результаты по математике.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Статистика по отметкам по математике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drawing>
          <wp:inline distT="0" distB="0" distL="0" distR="0">
            <wp:extent cx="4570730" cy="274193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Статистика по отметкам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математике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в 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еспублике Адыгея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показала, что на «2» балла написали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чел.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на «3» балла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830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чел.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на «4» балла написали 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256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чел, на «5» баллов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2332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Таблица распределения групп баллов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 математике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в %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0"/>
        <w:gridCol w:w="1755"/>
        <w:gridCol w:w="1140"/>
        <w:gridCol w:w="1080"/>
        <w:gridCol w:w="1020"/>
        <w:gridCol w:w="1140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  <w:r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1180357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Адыгея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Гиагинский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Кошехабльский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Майкопский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Тахтамукайский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Теучежский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Шовгеновский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Адыгейск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Майкоп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Как видно из таблицы наименьшее количество работ с отметкой «2» в Т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ахтамукайском и Шовгеновском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районе —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7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%, а наибольшее количество двоек 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Красногвардейском 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Гиагинском районе —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5,3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%. Также следует отметить город Майкоп,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где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больше всего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работ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 отметкой «5» (63,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7%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5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Статистика по отметкам в муниципальных образованиях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drawing>
          <wp:inline distT="0" distB="0" distL="0" distR="0">
            <wp:extent cx="4570730" cy="2741930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5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ачество обученности по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математике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 всем муниципальным образованиям РА составило более 50%. По данному критерию можно выделить две группы. К первой группе, где 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ачество обученности составляет 50 — 75% относ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тся Красногвардейский район, Кошехабльский район, Майкопский район, Теучежский район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город Адыгейск. Во вторую группу, где качество обученности составляет 75 — 100% входят Гиагинский район, Тахтамукайский район, Шовгеновский район и город Майкоп.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Окружающий мир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Всероссийские проверочные работы по окружающему миру проводились 19 мая 2016г в соответствии с графиком. Количество обучающихся, принявших участие в мониторинговых исследованиях составило 4502.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Вариант проверочной работы состоит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 формах.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Задания части 2 направлены прежде всего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Анализ выполнения работы по критериям показывает, что наиболее успешно обучающиеся 4-х классов РА справились с заданиями,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проверяющими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знаково-символические средства для решения задач.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Приведенная ниже гистограмма показывает, что обучающиеся Республики Адыгея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справились с большинством заданий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по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окружающему миру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также как четвероклассники в целом по РФ. Немного ниже оказались результаты по заданиям проверяющим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рассуждений, вычленя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содержащиеся в тексте основные события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равнива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между собой объекты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Средний % выполнения заданий по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окружающему миру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u w:val="none"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drawing>
          <wp:inline distT="0" distB="0" distL="0" distR="0">
            <wp:extent cx="5759450" cy="3239770"/>
            <wp:effectExtent l="0" t="0" r="0" b="0"/>
            <wp:docPr id="10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К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оличество баллов по каждому критерию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u w:val="none"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u w:val="none"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07405" cy="488315"/>
            <wp:effectExtent l="0" t="0" r="0" b="0"/>
            <wp:wrapSquare wrapText="largest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Из таблицы и гистограммы видно, что результаты, полученные обучающимися 4-х классов по </w:t>
      </w:r>
      <w:r>
        <w:rPr>
          <w:rFonts w:cs="Times New Roman" w:ascii="Times New Roman" w:hAnsi="Times New Roman"/>
          <w:sz w:val="28"/>
          <w:szCs w:val="28"/>
        </w:rPr>
        <w:t>окружающему миру</w:t>
      </w:r>
      <w:r>
        <w:rPr>
          <w:rFonts w:cs="Times New Roman" w:ascii="Times New Roman" w:hAnsi="Times New Roman"/>
          <w:sz w:val="28"/>
          <w:szCs w:val="28"/>
        </w:rPr>
        <w:t xml:space="preserve"> по показателю "Достижение планируемых результатов в соответствии с примерной основной образовательной программой начального общего образования" (ПООП НОО) соответствуют среднероссийским по критери</w:t>
      </w:r>
      <w:r>
        <w:rPr>
          <w:rFonts w:cs="Times New Roman" w:ascii="Times New Roman" w:hAnsi="Times New Roman"/>
          <w:sz w:val="28"/>
          <w:szCs w:val="28"/>
        </w:rPr>
        <w:t>ям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1, 2, 6(1); ниже среднерос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ийских в среднем от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до 13 % по критер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ям №№ 3, 4, 6(1), 6 (2), 6 (3), </w:t>
      </w:r>
      <w:r>
        <w:rPr>
          <w:rFonts w:cs="Times New Roman" w:ascii="Times New Roman" w:hAnsi="Times New Roman"/>
          <w:sz w:val="28"/>
          <w:szCs w:val="28"/>
        </w:rPr>
        <w:t>7,</w:t>
      </w:r>
      <w:r>
        <w:rPr>
          <w:rFonts w:cs="Times New Roman" w:ascii="Times New Roman" w:hAnsi="Times New Roman"/>
          <w:sz w:val="28"/>
          <w:szCs w:val="28"/>
        </w:rPr>
        <w:t xml:space="preserve"> 8 К2, 8К3, 9, 10(3)К2,  10(3)К3; выше среднероссийских </w:t>
      </w:r>
      <w:r>
        <w:rPr>
          <w:rFonts w:cs="Times New Roman" w:ascii="Times New Roman" w:hAnsi="Times New Roman"/>
          <w:sz w:val="28"/>
          <w:szCs w:val="28"/>
        </w:rPr>
        <w:t>в среднем от 2 до 6 % по критери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м №№ 3 (1), 10(3)К1, 10(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), 10 (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Максимальный балл, который можно было набрать за выполнение всей работы составил — </w:t>
      </w:r>
      <w:r>
        <w:rPr>
          <w:rFonts w:cs="Times New Roman" w:ascii="Times New Roman" w:hAnsi="Times New Roman"/>
          <w:sz w:val="28"/>
          <w:szCs w:val="28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балл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Лучший результат показали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обучающихся 4-х классов, набравших максимальное количество баллов. </w:t>
      </w:r>
      <w:r>
        <w:rPr>
          <w:rFonts w:cs="Times New Roman" w:ascii="Times New Roman" w:hAnsi="Times New Roman"/>
          <w:sz w:val="28"/>
          <w:szCs w:val="28"/>
        </w:rPr>
        <w:t xml:space="preserve">Минимальное количество баллов набрали </w:t>
      </w: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 четвероклассников. </w:t>
      </w:r>
      <w:r>
        <w:rPr>
          <w:rFonts w:cs="Times New Roman" w:ascii="Times New Roman" w:hAnsi="Times New Roman"/>
          <w:sz w:val="28"/>
          <w:szCs w:val="28"/>
        </w:rPr>
        <w:t xml:space="preserve">Рекомендации по переводу первичных баллов в отметки по пятибальной шкале </w:t>
      </w:r>
      <w:r>
        <w:rPr>
          <w:rFonts w:cs="Times New Roman" w:ascii="Times New Roman" w:hAnsi="Times New Roman"/>
          <w:sz w:val="28"/>
          <w:szCs w:val="28"/>
        </w:rPr>
        <w:t>представлен в таблице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</w:t>
      </w:r>
      <w:r/>
    </w:p>
    <w:p>
      <w:pPr>
        <w:pStyle w:val="Normal"/>
        <w:jc w:val="center"/>
        <w:rPr>
          <w:sz w:val="28"/>
          <w:i/>
          <w:sz w:val="28"/>
          <w:i/>
          <w:rFonts w:ascii="TimesNewRoman,Italic" w:hAnsi="TimesNewRoman,Italic"/>
        </w:rPr>
      </w:pPr>
      <w:r>
        <w:rPr>
          <w:rFonts w:ascii="TimesNewRoman,Italic" w:hAnsi="TimesNewRoman,Italic"/>
          <w:i/>
          <w:sz w:val="28"/>
        </w:rPr>
        <w:t>Таблица перевода баллов в отметки по пятибалльной шкале</w:t>
      </w:r>
      <w:r/>
    </w:p>
    <w:p>
      <w:pPr>
        <w:pStyle w:val="Normal"/>
        <w:jc w:val="left"/>
        <w:rPr>
          <w:sz w:val="28"/>
          <w:i/>
          <w:sz w:val="28"/>
          <w:i/>
          <w:rFonts w:ascii="TimesNewRoman,Italic" w:hAnsi="TimesNewRoman,Italic"/>
        </w:rPr>
      </w:pPr>
      <w:r>
        <w:rPr>
          <w:rFonts w:ascii="TimesNewRoman,Italic" w:hAnsi="TimesNewRoman,Italic"/>
          <w:i/>
          <w:sz w:val="28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 по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пятибалльной шкале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«2»</w:t>
            </w:r>
            <w:r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«3»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«4»</w:t>
            </w:r>
            <w:r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«5»</w:t>
            </w:r>
            <w:r/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  <w:rPr>
                <w:sz w:val="24"/>
                <w:b w:val="false"/>
                <w:sz w:val="24"/>
                <w:b w:val="false"/>
                <w:szCs w:val="28"/>
                <w:bCs w:val="fals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Первичные баллы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0–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7</w:t>
            </w:r>
            <w:r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16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57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17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24</w:t>
            </w:r>
            <w:r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57"/>
              <w:jc w:val="center"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8"/>
              </w:rPr>
              <w:t>30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результатам перевода первичных баллов в отметки обучающиеся 4-х классов Республики Адыгея получили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больше отметок «2» (2,2%), чем в целом по России (1,6%). На 4% больше четвероклассников Республики Адыгея получили отметку «3» (28,1% - РА, 24,1% - РФ). Немного ниже в республике процент «хорошистов» (52,5% - РА, 53,2% - РФ), чем в среднем по РФ. Следует отметить, что количество работ по окружающему миру, выполненных на отметку «5» (17,2% — РА, 21,2% - РФ), значительно меньше чем по математике и русскому языку.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sz w:val="28"/>
          <w:i/>
          <w:b w:val="false"/>
          <w:sz w:val="28"/>
          <w:i/>
          <w:b w:val="false"/>
          <w:szCs w:val="28"/>
          <w:iCs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Статистика по отметкам по окружающему миру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drawing>
          <wp:inline distT="0" distB="0" distL="0" distR="0">
            <wp:extent cx="5270500" cy="2325370"/>
            <wp:effectExtent l="0" t="0" r="0" b="0"/>
            <wp:docPr id="12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Статистика по отметкам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окружающему миру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в 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еспублике Адыгея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показала, что на «2» балла написали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чел.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на «3» балла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1265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чел.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на «4» балла написали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2363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чел, на «5» баллов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776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аблица распределения групп баллов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по окружающему миру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в %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0"/>
        <w:gridCol w:w="1755"/>
        <w:gridCol w:w="1140"/>
        <w:gridCol w:w="1080"/>
        <w:gridCol w:w="1020"/>
        <w:gridCol w:w="1140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  <w:r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outline w:val="false"/>
                <w:dstrike w:val="false"/>
                <w:strike w:val="false"/>
                <w:sz w:val="24"/>
                <w:i w:val="false"/>
                <w:shadow w:val="false"/>
                <w:u w:val="none"/>
                <w:b w:val="false"/>
                <w:sz w:val="24"/>
                <w:i w:val="false"/>
                <w:b w:val="false"/>
                <w:szCs w:val="24"/>
                <w:em w:val="none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1179427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Адыгея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Гиагинский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Кошехабльский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Майкопский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Тахтамукайский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Теучежский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Шовгеновский район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Адыгейск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Майкоп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907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Как видно из таблицы наименьшее количество работ с отметкой «2» в Т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еучежском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районе —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6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%, а наибольшее количество двоек 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Красногвардейском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районе —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,3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%. Также следует отметить город Майкоп,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где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больше всего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работ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 отметкой «5» (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7%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 Шовгеновский район (23,6%)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Статистика по отметкам в муниципальных образованиях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sz w:val="28"/>
          <w:b w:val="false"/>
          <w:sz w:val="28"/>
          <w:b w:val="false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drawing>
          <wp:inline distT="0" distB="0" distL="0" distR="0">
            <wp:extent cx="5759450" cy="3239770"/>
            <wp:effectExtent l="0" t="0" r="0" b="0"/>
            <wp:docPr id="13" name="Объект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ачество обученности по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окружающему миру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 по всем муниципальным образованиям РА составило более 50%. По данному критерию можно выделить две группы. К первой группе, где качество обученности составляет 50 — 75% относится Гиагинский район, Красногвардейский район, Кошехабльский район, Майкопский район, Теучежский район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город Адыгейск. Во вторую группу, где качество обученности составляет 75 — 100% входят Шовгеновский район и город Майкоп.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Выводы: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При сравнении результатов ВПР обучающихся 4-х классов Республики Адыгея  по всем предметам следует отметить небольшие отклонения от средних результатов по Российской Федерации.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Меньше всего отметок «2» по результатам выполнения работы по окружающему миру, а больше всего по русскому языку. При этом следует отметить, что и работ, выполненных на «5» значительно меньше по окружающему миру, а больше всего по математике.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>Т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аблица распределения групп баллов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предметам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  <w:rPr>
          <w:outline w:val="false"/>
          <w:dstrike w:val="false"/>
          <w:strike w:val="false"/>
          <w:sz w:val="28"/>
          <w:i/>
          <w:shadow w:val="false"/>
          <w:u w:val="none"/>
          <w:b w:val="false"/>
          <w:sz w:val="28"/>
          <w:i/>
          <w:b w:val="false"/>
          <w:szCs w:val="28"/>
          <w:iCs/>
          <w:bCs w:val="false"/>
          <w:em w:val="none"/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 </w:t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10"/>
        <w:gridCol w:w="1755"/>
        <w:gridCol w:w="1140"/>
        <w:gridCol w:w="1080"/>
        <w:gridCol w:w="1020"/>
        <w:gridCol w:w="1140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  <w:r/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4331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  <w:r/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r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  <w:r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  <w:r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  <w:r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  <w:r/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Качество обученности выше всего по русскому языку и хуже всего по окружающему миру.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В разрезе муниципальных образований следует выделить город Майкоп и Шовгеновский район,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которые показали высокое качество обученности по итогам трех предметов.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Результаты ВПР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по русскому языку,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математике и окружающему миру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использованы: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для </w:t>
      </w:r>
      <w:r>
        <w:rPr>
          <w:rFonts w:cs="Times New Roman" w:ascii="Times New Roman" w:hAnsi="Times New Roman"/>
          <w:sz w:val="28"/>
          <w:szCs w:val="28"/>
        </w:rPr>
        <w:t>мониторинг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результатов введения ФГОС;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>своевременн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корректировк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отдельных аспектов в системе </w:t>
      </w:r>
      <w:r>
        <w:rPr>
          <w:rFonts w:cs="Times New Roman" w:ascii="Times New Roman" w:hAnsi="Times New Roman"/>
          <w:sz w:val="28"/>
          <w:szCs w:val="28"/>
        </w:rPr>
        <w:t xml:space="preserve">начального </w:t>
      </w:r>
      <w:r>
        <w:rPr>
          <w:rFonts w:cs="Times New Roman" w:ascii="Times New Roman" w:hAnsi="Times New Roman"/>
          <w:sz w:val="28"/>
          <w:szCs w:val="28"/>
        </w:rPr>
        <w:t>общего образования;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>формировани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базы результатов обучающихся,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возможност</w:t>
      </w:r>
      <w:r>
        <w:rPr>
          <w:rFonts w:cs="Times New Roman" w:ascii="Times New Roman" w:hAnsi="Times New Roman"/>
          <w:sz w:val="28"/>
          <w:szCs w:val="28"/>
        </w:rPr>
        <w:t>ью</w:t>
      </w:r>
      <w:r>
        <w:rPr>
          <w:rFonts w:cs="Times New Roman" w:ascii="Times New Roman" w:hAnsi="Times New Roman"/>
          <w:sz w:val="28"/>
          <w:szCs w:val="28"/>
        </w:rPr>
        <w:t xml:space="preserve"> учета в качестве портфолио </w:t>
      </w:r>
      <w:r>
        <w:rPr>
          <w:rFonts w:cs="Times New Roman" w:ascii="Times New Roman" w:hAnsi="Times New Roman"/>
          <w:sz w:val="28"/>
          <w:szCs w:val="28"/>
        </w:rPr>
        <w:t>при переходе на следующую ступень обучения в классы с углубленным изучением отдельных предметов</w:t>
      </w:r>
      <w:r>
        <w:rPr>
          <w:rFonts w:cs="Times New Roman" w:ascii="Times New Roman" w:hAnsi="Times New Roman"/>
          <w:sz w:val="28"/>
          <w:szCs w:val="28"/>
        </w:rPr>
        <w:t>;</w:t>
      </w:r>
      <w:r/>
    </w:p>
    <w:p>
      <w:pPr>
        <w:pStyle w:val="Normal"/>
        <w:ind w:left="0" w:right="0" w:firstLine="709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>корректировк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образовательного процесса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совершенствования методики преподавания по отдельным предметам.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В рамках мониторинга проведения ВПР в 4-х классах была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рганизова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централизованн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перепроверк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10% работ школьников на уровне муниципальн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ых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образовани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й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Республики Адыгея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В целом по республике было перепроверено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10,8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% работ по русскому языку (486),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10,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% работ по математике (500) и 10,9% работ по окружающему миру (498).  Из всего количества перепроверенных работ объективно оценены 88,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% работ по русскому языку (429), 95,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% работ по математике (47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6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) и 88,7% работ по окружающему миру (442).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результатам перепроверки случаи завышения оценок выявлены в 4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работах по русскому языку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05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, 16 работах по математике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(3,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и 4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7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работах по окружающему миру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,4%)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Самая высокая доля завышенных работ: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- по русскому языку в Гиагинском районе (43,1%), г.Майкопе (9,2%), Майкопском районе (6,3%);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математике: в Гиагинском районе (17,3%), Красногвардейском районе (8,6%) и  Кошехабльском районе (6,06%);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по окружающему миру: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в Гиагинском районе (43,1%),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Теучежском районе (1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%), Майкопском районе (12%),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Кошехабльском районе (9,4%),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г.Майкоп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(6,3%).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Не выявлены случаи завышения оценок по всем предметам в Шовгеновском районе; по математике и русскому языку - в г.Адыгейск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и Тахтамукайском районе.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По результатам перепроверки случаи занижения оценок выявлены в 13  работах по русскому языку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(3,0%)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, в 8 работах по математике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(1,6%)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и  9  работах по окружающему миру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(2,0%)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Самая высокая доля работ с заниженными оценками: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русскому языку: в Гиагинском районе (6,8%), Красногвардейском районе (5,3%),  Теучежском районе (5,3%), г.Майкопе (3,1%),  Майкопском районе (3,1%);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математике: в Красногвардейском районе (5,3%), Теучежском районе (5,3%), Гиагинском районе (2,2%),  г.Майкопе (1,8%), Майкопском районе (1,6%);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окружающему миру:  в Гиагинском районе (15,9%), Майкопском районе (1,5%).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Не выявлены случаи занижения оценок по всем предметам в г.Адыгейск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Кошехабльском районе, Тахтамукайском районе, Шовгеновском районе; по окружающему миру - в Красногвардейском районе и Теучежском районе.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center"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Таблица результатов перепроверки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10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% работ 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по всем предметам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en-US"/>
        </w:rPr>
      </w:r>
      <w:r/>
    </w:p>
    <w:tbl>
      <w:tblPr>
        <w:tblW w:w="10485" w:type="dxa"/>
        <w:jc w:val="left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55"/>
        <w:gridCol w:w="915"/>
        <w:gridCol w:w="1860"/>
        <w:gridCol w:w="1485"/>
        <w:gridCol w:w="1695"/>
        <w:gridCol w:w="1080"/>
        <w:gridCol w:w="795"/>
        <w:gridCol w:w="900"/>
      </w:tblGrid>
      <w:tr>
        <w:trPr>
          <w:trHeight w:val="580" w:hRule="atLeast"/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  <w:r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Всего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об</w:t>
            </w: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уч-ся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4-х классов</w:t>
            </w:r>
            <w:r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предмет</w:t>
            </w:r>
            <w:r/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Общее кол-во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оцененных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работ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Общее кол-во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перепроверенных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 xml:space="preserve">работ </w:t>
            </w:r>
            <w:r/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Результаты перепроверки:</w:t>
            </w:r>
            <w:r/>
          </w:p>
        </w:tc>
      </w:tr>
      <w:tr>
        <w:trPr>
          <w:trHeight w:val="800" w:hRule="atLeast"/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кол-во оценок, соответствующих критериям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кол-во завышенных оценок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кол-во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ru-RU"/>
              </w:rPr>
              <w:t>заниженных оценок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 w:eastAsia="ru-RU"/>
              </w:rPr>
              <w:t>г.Адыгейск</w:t>
            </w:r>
            <w:r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158</w:t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 w:eastAsia="ru-RU"/>
              </w:rPr>
              <w:t>Гиагинский район</w:t>
            </w:r>
            <w:r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368</w:t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52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44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22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19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3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57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46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37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8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val="ru-RU" w:eastAsia="ru-RU"/>
              </w:rPr>
              <w:t>1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54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44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19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7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Кошехабльский ра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он</w:t>
            </w:r>
            <w:r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304</w:t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39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35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31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29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5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35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33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29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6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35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32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Красногвардейский район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368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38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33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41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38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2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33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37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35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2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shd w:fill="auto" w:val="clear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г..Майкоп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1730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1565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159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141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13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5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90" w:leader="none"/>
              </w:tabs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169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165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3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1626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170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159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</w:t>
            </w:r>
            <w:r/>
          </w:p>
        </w:tc>
      </w:tr>
      <w:tr>
        <w:trPr>
          <w:trHeight w:val="241" w:hRule="atLeast"/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Майкопский ра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он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634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59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0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64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58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4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2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61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66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64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60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8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66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58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7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1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Тахтамукайский район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894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19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92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92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92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92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22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92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91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Теучежский район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169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47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19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17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19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17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19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16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3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Шовгеновский район</w:t>
            </w:r>
            <w:r/>
          </w:p>
        </w:tc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145</w:t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13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6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139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trHeight w:val="198" w:hRule="atLeast"/>
          <w:cantSplit w:val="true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140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18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0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ИТОГО:</w:t>
            </w:r>
            <w:r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4770</w:t>
            </w:r>
            <w:r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331</w:t>
            </w:r>
            <w:r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486</w:t>
            </w:r>
            <w: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429</w:t>
            </w:r>
            <w:r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</w:t>
            </w:r>
            <w: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13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529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500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47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6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16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8</w:t>
            </w:r>
            <w:r/>
          </w:p>
        </w:tc>
      </w:tr>
      <w:tr>
        <w:trPr>
          <w:cantSplit w:val="true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Окружающий мир</w:t>
            </w:r>
            <w:r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45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02</w:t>
            </w:r>
            <w:r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498</w:t>
            </w:r>
            <w:r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442</w:t>
            </w:r>
            <w:r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7</w:t>
            </w:r>
            <w:r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18"/>
                <w:shd w:fill="auto" w:val="clear"/>
                <w:sz w:val="18"/>
                <w:szCs w:val="18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  <w:lang w:eastAsia="ru-RU"/>
              </w:rPr>
              <w:t>9</w:t>
            </w:r>
            <w:r/>
          </w:p>
        </w:tc>
      </w:tr>
    </w:tbl>
    <w:p>
      <w:pPr>
        <w:pStyle w:val="Normal"/>
        <w:rPr/>
      </w:pPr>
      <w:r>
        <w:rPr/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организации, в которых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перепроверке 10% работ </w:t>
      </w:r>
      <w:r>
        <w:rPr>
          <w:rFonts w:ascii="Times New Roman" w:hAnsi="Times New Roman"/>
          <w:i/>
          <w:iCs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членами комиссии были выявлены ошибки при оценивании отдельных заданий и работ в целом:</w:t>
      </w:r>
      <w:r/>
    </w:p>
    <w:p>
      <w:pPr>
        <w:pStyle w:val="Normal"/>
        <w:shd w:fill="FFFFFF" w:val="clear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Гиагинский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1, </w:t>
      </w:r>
      <w:r>
        <w:rPr>
          <w:rFonts w:ascii="Times New Roman" w:hAnsi="Times New Roman"/>
          <w:sz w:val="28"/>
          <w:szCs w:val="28"/>
        </w:rPr>
        <w:t>2, 3,</w:t>
      </w:r>
      <w:r>
        <w:rPr>
          <w:rFonts w:ascii="Times New Roman" w:hAnsi="Times New Roman"/>
          <w:sz w:val="28"/>
          <w:szCs w:val="28"/>
        </w:rPr>
        <w:t xml:space="preserve"> 5, 6, </w:t>
      </w:r>
      <w:r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sz w:val="28"/>
          <w:szCs w:val="28"/>
        </w:rPr>
        <w:t xml:space="preserve">8, 9, 10, 12 </w:t>
      </w:r>
      <w:r>
        <w:rPr>
          <w:rFonts w:ascii="Times New Roman" w:hAnsi="Times New Roman"/>
          <w:sz w:val="28"/>
          <w:szCs w:val="28"/>
        </w:rPr>
        <w:t>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№№ 4,7,10 (занижение оценок);</w:t>
      </w:r>
      <w:r/>
    </w:p>
    <w:p>
      <w:pPr>
        <w:pStyle w:val="Normal"/>
        <w:shd w:fill="FFFFFF" w:val="clear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Красногвардейский район: 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4, 5, </w:t>
      </w:r>
      <w:r>
        <w:rPr>
          <w:rFonts w:ascii="Times New Roman" w:hAnsi="Times New Roman"/>
          <w:sz w:val="28"/>
          <w:szCs w:val="28"/>
        </w:rPr>
        <w:t xml:space="preserve">(завышение оценок); МБОУ СОШ № 5, </w:t>
      </w:r>
      <w:r>
        <w:rPr>
          <w:rFonts w:ascii="Times New Roman" w:hAnsi="Times New Roman"/>
          <w:sz w:val="28"/>
          <w:szCs w:val="28"/>
        </w:rPr>
        <w:t xml:space="preserve"> НШДС № 18 </w:t>
      </w:r>
      <w:r>
        <w:rPr>
          <w:rFonts w:ascii="Times New Roman" w:hAnsi="Times New Roman"/>
          <w:sz w:val="28"/>
          <w:szCs w:val="28"/>
        </w:rPr>
        <w:t>(занижение оценок)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Кошехабльский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№№ 2,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10, </w:t>
      </w:r>
      <w:r>
        <w:rPr>
          <w:rFonts w:ascii="Times New Roman" w:hAnsi="Times New Roman"/>
          <w:sz w:val="28"/>
          <w:szCs w:val="28"/>
        </w:rPr>
        <w:t>12 (завышение оценок)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г. Майкоп: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№№ 2, 5, 7, 8, 9, 10, 11, 17, 18, 20, 22, 23, 24, 25, 26, 28, 33, 35, Эврика.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Майкопский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№№ </w:t>
      </w:r>
      <w:r>
        <w:rPr>
          <w:rFonts w:ascii="Times New Roman" w:hAnsi="Times New Roman"/>
          <w:sz w:val="28"/>
          <w:szCs w:val="28"/>
        </w:rPr>
        <w:t>5, 11, 20, 28 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№№ 16, 22 (занижение оценок);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Теучежский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>1, 9, 5 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№№ 4, 2 (занижение оценок).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организации, в которых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перепроверке 10% работ </w:t>
      </w:r>
      <w:r>
        <w:rPr>
          <w:rFonts w:ascii="Times New Roman" w:hAnsi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i/>
          <w:iCs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членами комиссии были выявлены ошибки при оценивании отдельных заданий и работ в целом:: 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Гиагинский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1, 2, 5, 9, 11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 7 (занижение оценок);</w:t>
      </w:r>
      <w:r/>
    </w:p>
    <w:p>
      <w:pPr>
        <w:pStyle w:val="Normal"/>
        <w:shd w:fill="FFFFFF" w:val="clear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Красногвардейский район: 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4,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(завышение оценок); МБОУ СОШ №№ 5,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(занижение оценок)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Кошехабльский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</w:t>
      </w:r>
      <w:r>
        <w:rPr>
          <w:rFonts w:ascii="Times New Roman" w:hAnsi="Times New Roman"/>
          <w:sz w:val="28"/>
          <w:szCs w:val="28"/>
        </w:rPr>
        <w:t>9 (завышение оценок)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г. Майкоп: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№№ 7, 8, 14, 19, 22, 23, 24, 25, 33, 35;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Майкопский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</w:t>
      </w:r>
      <w:r>
        <w:rPr>
          <w:rFonts w:ascii="Times New Roman" w:hAnsi="Times New Roman"/>
          <w:sz w:val="28"/>
          <w:szCs w:val="28"/>
        </w:rPr>
        <w:t>11 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 2 (занижение оценок);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Теучежский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>2 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№№ 5 (занижение оценок).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организации, в которых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перепроверке 10% работ </w:t>
      </w:r>
      <w:r>
        <w:rPr>
          <w:rFonts w:ascii="Times New Roman" w:hAnsi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/>
          <w:i/>
          <w:iCs/>
          <w:sz w:val="28"/>
          <w:szCs w:val="28"/>
        </w:rPr>
        <w:t>окружающему миру</w:t>
      </w:r>
      <w:r>
        <w:rPr>
          <w:rFonts w:ascii="Times New Roman" w:hAnsi="Times New Roman"/>
          <w:sz w:val="28"/>
          <w:szCs w:val="28"/>
        </w:rPr>
        <w:t xml:space="preserve"> членами комиссии были выявлены ошибки при оценивании отдельных заданий и работ в целом: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г.Адыгейск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МБОУ СОШ № 1 (завышение оценок).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Гиагинский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2,4,5,6,7,8,9,11,12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  1,4,7,10 (занижение оценок);</w:t>
      </w:r>
      <w:r/>
    </w:p>
    <w:p>
      <w:pPr>
        <w:pStyle w:val="Normal"/>
        <w:shd w:fill="FFFFFF" w:val="clear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Красногвардейский район: 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(завышение оценок); 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Кошехабльский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</w:t>
      </w:r>
      <w:r>
        <w:rPr>
          <w:rFonts w:ascii="Times New Roman" w:hAnsi="Times New Roman"/>
          <w:sz w:val="28"/>
          <w:szCs w:val="28"/>
        </w:rPr>
        <w:t>9, 10, 8 (завышение оценок)</w:t>
      </w:r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г. Майкоп: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№№ 3, 5, 6, 8, 9, 11, 16, 18, 19, 22, 33, 35;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Майкопский район: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СОШ № </w:t>
      </w:r>
      <w:r>
        <w:rPr>
          <w:rFonts w:ascii="Times New Roman" w:hAnsi="Times New Roman"/>
          <w:sz w:val="28"/>
          <w:szCs w:val="28"/>
        </w:rPr>
        <w:t>1, 6, 7, 9, 16, 22 (завышение оценок)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МБОУ СОШ № 21 (занижение оценок);</w:t>
      </w:r>
      <w:r/>
    </w:p>
    <w:p>
      <w:pPr>
        <w:pStyle w:val="Normal"/>
        <w:shd w:fill="FFFFFF" w:val="clear"/>
        <w:ind w:left="737" w:right="0" w:hanging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Тахтамукайский район: МБОУ СОШ № 4 (завышение оценок);</w:t>
      </w:r>
      <w:r/>
    </w:p>
    <w:p>
      <w:pPr>
        <w:pStyle w:val="Normal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Теучежский район: </w:t>
      </w: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3, 4 (завышение оценок).</w:t>
      </w:r>
      <w:r/>
    </w:p>
    <w:p>
      <w:pPr>
        <w:pStyle w:val="Normal"/>
        <w:shd w:fill="FFFFFF" w:val="clear"/>
        <w:spacing w:lineRule="auto" w:line="240" w:before="0" w:after="0"/>
        <w:ind w:left="0" w:right="0" w:firstLine="709"/>
        <w:jc w:val="both"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целью усиления контроля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и повышения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качеств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организации проведения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ВПР руководителям районных (городских) методических центров (кабинетов) совместно с руководителями образовательных организаций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необходимо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разработать систему мер по повышению профессиональной компетенции оценивания ВПР в соответствии с установленными критериями.</w:t>
      </w:r>
      <w:r/>
    </w:p>
    <w:p>
      <w:pPr>
        <w:pStyle w:val="Style15"/>
        <w:shd w:fill="FFFFFF" w:val="clear"/>
        <w:spacing w:lineRule="auto" w:line="240" w:before="0" w:after="0"/>
        <w:ind w:left="0" w:right="0" w:firstLine="709"/>
        <w:jc w:val="both"/>
        <w:rPr>
          <w:outline w:val="false"/>
          <w:dstrike w:val="false"/>
          <w:strike w:val="false"/>
          <w:sz w:val="28"/>
          <w:i w:val="false"/>
          <w:shadow w:val="false"/>
          <w:u w:val="none"/>
          <w:b w:val="false"/>
          <w:sz w:val="28"/>
          <w:i w:val="false"/>
          <w:b w:val="false"/>
          <w:szCs w:val="28"/>
          <w:bCs w:val="false"/>
          <w:em w:val="none"/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ngal">
    <w:charset w:val="cc"/>
    <w:family w:val="roman"/>
    <w:pitch w:val="variable"/>
  </w:font>
  <w:font w:name="TimesNewRoman">
    <w:altName w:val="Italic"/>
    <w:charset w:val="cc"/>
    <w:family w:val="roman"/>
    <w:pitch w:val="variable"/>
  </w:font>
  <w:font w:name="TimesNew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image" Target="media/image1.emf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chart" Target="charts/chart4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image" Target="media/image5.emf"/><Relationship Id="rId13" Type="http://schemas.openxmlformats.org/officeDocument/2006/relationships/chart" Target="charts/chart7.xml"/><Relationship Id="rId14" Type="http://schemas.openxmlformats.org/officeDocument/2006/relationships/chart" Target="charts/chart8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3"/>
                <c:pt idx="0">
                  <c:v>64</c:v>
                </c:pt>
                <c:pt idx="1">
                  <c:v>93</c:v>
                </c:pt>
                <c:pt idx="2">
                  <c:v>81</c:v>
                </c:pt>
                <c:pt idx="3">
                  <c:v>89</c:v>
                </c:pt>
                <c:pt idx="4">
                  <c:v>77</c:v>
                </c:pt>
                <c:pt idx="5">
                  <c:v>77</c:v>
                </c:pt>
                <c:pt idx="6">
                  <c:v>83</c:v>
                </c:pt>
                <c:pt idx="7">
                  <c:v>59</c:v>
                </c:pt>
                <c:pt idx="8">
                  <c:v>62</c:v>
                </c:pt>
                <c:pt idx="9">
                  <c:v>63</c:v>
                </c:pt>
                <c:pt idx="10">
                  <c:v>68</c:v>
                </c:pt>
                <c:pt idx="11">
                  <c:v>77</c:v>
                </c:pt>
                <c:pt idx="12">
                  <c:v>74</c:v>
                </c:pt>
                <c:pt idx="13">
                  <c:v>79</c:v>
                </c:pt>
                <c:pt idx="14">
                  <c:v>71</c:v>
                </c:pt>
                <c:pt idx="15">
                  <c:v>76</c:v>
                </c:pt>
                <c:pt idx="16">
                  <c:v>59</c:v>
                </c:pt>
                <c:pt idx="17">
                  <c:v>79</c:v>
                </c:pt>
                <c:pt idx="18">
                  <c:v>81</c:v>
                </c:pt>
                <c:pt idx="19">
                  <c:v>82</c:v>
                </c:pt>
                <c:pt idx="20">
                  <c:v>60</c:v>
                </c:pt>
                <c:pt idx="21">
                  <c:v>72</c:v>
                </c:pt>
                <c:pt idx="22">
                  <c:v>65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3"/>
                <c:pt idx="0">
                  <c:v>67</c:v>
                </c:pt>
                <c:pt idx="1">
                  <c:v>90</c:v>
                </c:pt>
                <c:pt idx="2">
                  <c:v>81</c:v>
                </c:pt>
                <c:pt idx="3">
                  <c:v>89</c:v>
                </c:pt>
                <c:pt idx="4">
                  <c:v>80</c:v>
                </c:pt>
                <c:pt idx="5">
                  <c:v>78</c:v>
                </c:pt>
                <c:pt idx="6">
                  <c:v>81</c:v>
                </c:pt>
                <c:pt idx="7">
                  <c:v>61</c:v>
                </c:pt>
                <c:pt idx="8">
                  <c:v>64</c:v>
                </c:pt>
                <c:pt idx="9">
                  <c:v>66</c:v>
                </c:pt>
                <c:pt idx="10">
                  <c:v>69</c:v>
                </c:pt>
                <c:pt idx="11">
                  <c:v>78</c:v>
                </c:pt>
                <c:pt idx="12">
                  <c:v>70</c:v>
                </c:pt>
                <c:pt idx="13">
                  <c:v>80</c:v>
                </c:pt>
                <c:pt idx="14">
                  <c:v>74</c:v>
                </c:pt>
                <c:pt idx="15">
                  <c:v>77</c:v>
                </c:pt>
                <c:pt idx="16">
                  <c:v>63</c:v>
                </c:pt>
                <c:pt idx="17">
                  <c:v>82</c:v>
                </c:pt>
                <c:pt idx="18">
                  <c:v>82</c:v>
                </c:pt>
                <c:pt idx="19">
                  <c:v>84</c:v>
                </c:pt>
                <c:pt idx="20">
                  <c:v>63</c:v>
                </c:pt>
                <c:pt idx="21">
                  <c:v>76</c:v>
                </c:pt>
                <c:pt idx="22">
                  <c:v>60</c:v>
                </c:pt>
              </c:numCache>
            </c:numRef>
          </c:val>
        </c:ser>
        <c:gapWidth val="100"/>
        <c:overlap val="0"/>
        <c:axId val="19873"/>
        <c:axId val="10218"/>
      </c:barChart>
      <c:catAx>
        <c:axId val="1987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0218"/>
        <c:crosses val="autoZero"/>
        <c:auto val="1"/>
        <c:lblAlgn val="ctr"/>
        <c:lblOffset val="100"/>
      </c:catAx>
      <c:valAx>
        <c:axId val="1021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9873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3.1</c:v>
                </c:pt>
                <c:pt idx="1">
                  <c:v>17.4</c:v>
                </c:pt>
                <c:pt idx="2">
                  <c:v>38</c:v>
                </c:pt>
                <c:pt idx="3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2.8</c:v>
                </c:pt>
                <c:pt idx="1">
                  <c:v>14.9</c:v>
                </c:pt>
                <c:pt idx="2">
                  <c:v>38.1</c:v>
                </c:pt>
                <c:pt idx="3">
                  <c:v>44.1</c:v>
                </c:pt>
              </c:numCache>
            </c:numRef>
          </c:val>
        </c:ser>
        <c:gapWidth val="100"/>
        <c:overlap val="0"/>
        <c:axId val="18038"/>
        <c:axId val="18057"/>
      </c:barChart>
      <c:catAx>
        <c:axId val="1803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8057"/>
        <c:crosses val="autoZero"/>
        <c:auto val="1"/>
        <c:lblAlgn val="ctr"/>
        <c:lblOffset val="100"/>
      </c:catAx>
      <c:valAx>
        <c:axId val="1805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8038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</c:v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  <c:pt idx="7">
                  <c:v/>
                </c:pt>
                <c:pt idx="8">
                  <c:v/>
                </c:pt>
                <c:pt idx="9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2.5</c:v>
                </c:pt>
                <c:pt idx="1">
                  <c:v>5.3</c:v>
                </c:pt>
                <c:pt idx="2">
                  <c:v>2</c:v>
                </c:pt>
                <c:pt idx="3">
                  <c:v>5.3</c:v>
                </c:pt>
                <c:pt idx="4">
                  <c:v>3.7</c:v>
                </c:pt>
                <c:pt idx="5">
                  <c:v>0.72</c:v>
                </c:pt>
                <c:pt idx="6">
                  <c:v>2.4</c:v>
                </c:pt>
                <c:pt idx="7">
                  <c:v>0.72</c:v>
                </c:pt>
                <c:pt idx="8">
                  <c:v>1.9</c:v>
                </c:pt>
                <c:pt idx="9">
                  <c:v>1.9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18.3</c:v>
                </c:pt>
                <c:pt idx="1">
                  <c:v>19.3</c:v>
                </c:pt>
                <c:pt idx="2">
                  <c:v>29.2</c:v>
                </c:pt>
                <c:pt idx="3">
                  <c:v>21.1</c:v>
                </c:pt>
                <c:pt idx="4">
                  <c:v>23.1</c:v>
                </c:pt>
                <c:pt idx="5">
                  <c:v>18.6</c:v>
                </c:pt>
                <c:pt idx="6">
                  <c:v>25.5</c:v>
                </c:pt>
                <c:pt idx="7">
                  <c:v>18.7</c:v>
                </c:pt>
                <c:pt idx="8">
                  <c:v>27.1</c:v>
                </c:pt>
                <c:pt idx="9">
                  <c:v>12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0"/>
                <c:pt idx="0">
                  <c:v>27.7</c:v>
                </c:pt>
                <c:pt idx="1">
                  <c:v>31.4</c:v>
                </c:pt>
                <c:pt idx="2">
                  <c:v>35.3</c:v>
                </c:pt>
                <c:pt idx="3">
                  <c:v>29.6</c:v>
                </c:pt>
                <c:pt idx="4">
                  <c:v>28.6</c:v>
                </c:pt>
                <c:pt idx="5">
                  <c:v>30.5</c:v>
                </c:pt>
                <c:pt idx="6">
                  <c:v>30.9</c:v>
                </c:pt>
                <c:pt idx="7">
                  <c:v>35.3</c:v>
                </c:pt>
                <c:pt idx="8">
                  <c:v>29</c:v>
                </c:pt>
                <c:pt idx="9">
                  <c:v>22.3</c:v>
                </c:pt>
              </c:numCache>
            </c:numRef>
          </c:val>
        </c:ser>
        <c:gapWidth val="150"/>
        <c:overlap val="0"/>
        <c:axId val="18266"/>
        <c:axId val="17721"/>
      </c:barChart>
      <c:catAx>
        <c:axId val="1826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9360">
            <a:solidFill>
              <a:srgbClr val="868686"/>
            </a:solidFill>
            <a:round/>
          </a:ln>
        </c:spPr>
        <c:crossAx val="17721"/>
        <c:crosses val="autoZero"/>
        <c:auto val="1"/>
        <c:lblAlgn val="ctr"/>
        <c:lblOffset val="100"/>
      </c:catAx>
      <c:valAx>
        <c:axId val="17721"/>
        <c:scaling>
          <c:orientation val="minMax"/>
        </c:scaling>
        <c:delete val="0"/>
        <c:axPos val="l"/>
        <c:majorGridlines>
          <c:spPr>
            <a:ln w="9360">
              <a:solidFill>
                <a:srgbClr val="868686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68686"/>
            </a:solidFill>
            <a:round/>
          </a:ln>
        </c:spPr>
        <c:crossAx val="18266"/>
        <c:crosses val="min"/>
      </c:valAx>
      <c:spPr>
        <a:solidFill>
          <a:srgbClr val="ffffff"/>
        </a:solidFill>
        <a:ln>
          <a:noFill/>
        </a:ln>
      </c:spPr>
    </c:plotArea>
    <c:plotVisOnly val="1"/>
  </c:chart>
  <c:spPr>
    <a:solidFill>
      <a:srgbClr val="ffffff"/>
    </a:solidFill>
    <a:ln w="9360">
      <a:solidFill>
        <a:srgbClr val="868686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1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>10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2.5</c:v>
                </c:pt>
                <c:pt idx="1">
                  <c:v>18.3</c:v>
                </c:pt>
                <c:pt idx="2">
                  <c:v>27.7</c:v>
                </c:pt>
                <c:pt idx="3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label 0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>10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2.6</c:v>
                </c:pt>
                <c:pt idx="1">
                  <c:v>15.9</c:v>
                </c:pt>
                <c:pt idx="2">
                  <c:v>26.3</c:v>
                </c:pt>
                <c:pt idx="3">
                  <c:v>55.2</c:v>
                </c:pt>
              </c:numCache>
            </c:numRef>
          </c:val>
        </c:ser>
        <c:gapWidth val="150"/>
        <c:overlap val="0"/>
        <c:axId val="86"/>
        <c:axId val="20416"/>
      </c:barChart>
      <c:catAx>
        <c:axId val="8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9360">
            <a:solidFill>
              <a:srgbClr val="868686"/>
            </a:solidFill>
            <a:round/>
          </a:ln>
        </c:spPr>
        <c:crossAx val="20416"/>
        <c:crosses val="autoZero"/>
        <c:auto val="1"/>
        <c:lblAlgn val="ctr"/>
        <c:lblOffset val="100"/>
      </c:catAx>
      <c:valAx>
        <c:axId val="20416"/>
        <c:scaling>
          <c:orientation val="minMax"/>
        </c:scaling>
        <c:delete val="0"/>
        <c:axPos val="l"/>
        <c:majorGridlines>
          <c:spPr>
            <a:ln w="9360">
              <a:solidFill>
                <a:srgbClr val="868686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68686"/>
            </a:solidFill>
            <a:round/>
          </a:ln>
        </c:spPr>
        <c:crossAx val="86"/>
        <c:crosses val="mi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868686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2.5</c:v>
                </c:pt>
                <c:pt idx="1">
                  <c:v>5.3</c:v>
                </c:pt>
                <c:pt idx="2">
                  <c:v>2</c:v>
                </c:pt>
                <c:pt idx="3">
                  <c:v>5.3</c:v>
                </c:pt>
                <c:pt idx="4">
                  <c:v>3.7</c:v>
                </c:pt>
                <c:pt idx="5">
                  <c:v>0.72</c:v>
                </c:pt>
                <c:pt idx="6">
                  <c:v>2.4</c:v>
                </c:pt>
                <c:pt idx="7">
                  <c:v>0.72</c:v>
                </c:pt>
                <c:pt idx="8">
                  <c:v>1.9</c:v>
                </c:pt>
                <c:pt idx="9">
                  <c:v>1.9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18.3</c:v>
                </c:pt>
                <c:pt idx="1">
                  <c:v>19.3</c:v>
                </c:pt>
                <c:pt idx="2">
                  <c:v>29.2</c:v>
                </c:pt>
                <c:pt idx="3">
                  <c:v>21.1</c:v>
                </c:pt>
                <c:pt idx="4">
                  <c:v>23.1</c:v>
                </c:pt>
                <c:pt idx="5">
                  <c:v>18.6</c:v>
                </c:pt>
                <c:pt idx="6">
                  <c:v>25.5</c:v>
                </c:pt>
                <c:pt idx="7">
                  <c:v>18.7</c:v>
                </c:pt>
                <c:pt idx="8">
                  <c:v>27.1</c:v>
                </c:pt>
                <c:pt idx="9">
                  <c:v>12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27.7</c:v>
                </c:pt>
                <c:pt idx="1">
                  <c:v>31.4</c:v>
                </c:pt>
                <c:pt idx="2">
                  <c:v>35.3</c:v>
                </c:pt>
                <c:pt idx="3">
                  <c:v>29.6</c:v>
                </c:pt>
                <c:pt idx="4">
                  <c:v>28.6</c:v>
                </c:pt>
                <c:pt idx="5">
                  <c:v>30.5</c:v>
                </c:pt>
                <c:pt idx="6">
                  <c:v>30.9</c:v>
                </c:pt>
                <c:pt idx="7">
                  <c:v>35.3</c:v>
                </c:pt>
                <c:pt idx="8">
                  <c:v>29</c:v>
                </c:pt>
                <c:pt idx="9">
                  <c:v>22.3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0"/>
                <c:pt idx="0">
                  <c:v>51.5</c:v>
                </c:pt>
                <c:pt idx="1">
                  <c:v>44</c:v>
                </c:pt>
                <c:pt idx="2">
                  <c:v>33.6</c:v>
                </c:pt>
                <c:pt idx="3">
                  <c:v>44</c:v>
                </c:pt>
                <c:pt idx="4">
                  <c:v>44.6</c:v>
                </c:pt>
                <c:pt idx="5">
                  <c:v>50.2</c:v>
                </c:pt>
                <c:pt idx="6">
                  <c:v>41.2</c:v>
                </c:pt>
                <c:pt idx="7">
                  <c:v>45.3</c:v>
                </c:pt>
                <c:pt idx="8">
                  <c:v>41.9</c:v>
                </c:pt>
                <c:pt idx="9">
                  <c:v>63.7</c:v>
                </c:pt>
              </c:numCache>
            </c:numRef>
          </c:val>
        </c:ser>
        <c:gapWidth val="150"/>
        <c:overlap val="0"/>
        <c:axId val="17011"/>
        <c:axId val="24049"/>
      </c:barChart>
      <c:catAx>
        <c:axId val="17011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9360">
            <a:solidFill>
              <a:srgbClr val="868686"/>
            </a:solidFill>
            <a:round/>
          </a:ln>
        </c:spPr>
        <c:crossAx val="24049"/>
        <c:crosses val="autoZero"/>
        <c:auto val="1"/>
        <c:lblAlgn val="ctr"/>
        <c:lblOffset val="100"/>
      </c:catAx>
      <c:valAx>
        <c:axId val="24049"/>
        <c:scaling>
          <c:orientation val="minMax"/>
        </c:scaling>
        <c:delete val="0"/>
        <c:axPos val="l"/>
        <c:majorGridlines>
          <c:spPr>
            <a:ln w="9360">
              <a:solidFill>
                <a:srgbClr val="868686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68686"/>
            </a:solidFill>
            <a:round/>
          </a:ln>
        </c:spPr>
        <c:crossAx val="17011"/>
        <c:crosses val="mi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868686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0"/>
                <c:pt idx="0">
                  <c:v>91</c:v>
                </c:pt>
                <c:pt idx="1">
                  <c:v>69</c:v>
                </c:pt>
                <c:pt idx="2">
                  <c:v>75</c:v>
                </c:pt>
                <c:pt idx="3">
                  <c:v>78</c:v>
                </c:pt>
                <c:pt idx="4">
                  <c:v>56</c:v>
                </c:pt>
                <c:pt idx="5">
                  <c:v>81</c:v>
                </c:pt>
                <c:pt idx="6">
                  <c:v>67</c:v>
                </c:pt>
                <c:pt idx="7">
                  <c:v>81</c:v>
                </c:pt>
                <c:pt idx="8">
                  <c:v>50</c:v>
                </c:pt>
                <c:pt idx="9">
                  <c:v>28</c:v>
                </c:pt>
                <c:pt idx="10">
                  <c:v>64</c:v>
                </c:pt>
                <c:pt idx="11">
                  <c:v>84</c:v>
                </c:pt>
                <c:pt idx="12">
                  <c:v>62</c:v>
                </c:pt>
                <c:pt idx="13">
                  <c:v>37</c:v>
                </c:pt>
                <c:pt idx="14">
                  <c:v>44</c:v>
                </c:pt>
                <c:pt idx="15">
                  <c:v>90</c:v>
                </c:pt>
                <c:pt idx="16">
                  <c:v>86</c:v>
                </c:pt>
                <c:pt idx="17">
                  <c:v>76</c:v>
                </c:pt>
                <c:pt idx="18">
                  <c:v>70</c:v>
                </c:pt>
                <c:pt idx="19">
                  <c:v>34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0"/>
                <c:pt idx="0">
                  <c:v>91</c:v>
                </c:pt>
                <c:pt idx="1">
                  <c:v>69</c:v>
                </c:pt>
                <c:pt idx="2">
                  <c:v>71</c:v>
                </c:pt>
                <c:pt idx="3">
                  <c:v>82</c:v>
                </c:pt>
                <c:pt idx="4">
                  <c:v>55</c:v>
                </c:pt>
                <c:pt idx="5">
                  <c:v>86</c:v>
                </c:pt>
                <c:pt idx="6">
                  <c:v>75</c:v>
                </c:pt>
                <c:pt idx="7">
                  <c:v>81</c:v>
                </c:pt>
                <c:pt idx="8">
                  <c:v>55</c:v>
                </c:pt>
                <c:pt idx="9">
                  <c:v>35</c:v>
                </c:pt>
                <c:pt idx="10">
                  <c:v>66</c:v>
                </c:pt>
                <c:pt idx="11">
                  <c:v>85</c:v>
                </c:pt>
                <c:pt idx="12">
                  <c:v>67</c:v>
                </c:pt>
                <c:pt idx="13">
                  <c:v>42</c:v>
                </c:pt>
                <c:pt idx="14">
                  <c:v>57</c:v>
                </c:pt>
                <c:pt idx="15">
                  <c:v>84</c:v>
                </c:pt>
                <c:pt idx="16">
                  <c:v>80</c:v>
                </c:pt>
                <c:pt idx="17">
                  <c:v>74</c:v>
                </c:pt>
                <c:pt idx="18">
                  <c:v>73</c:v>
                </c:pt>
                <c:pt idx="19">
                  <c:v>38</c:v>
                </c:pt>
              </c:numCache>
            </c:numRef>
          </c:val>
        </c:ser>
        <c:gapWidth val="100"/>
        <c:overlap val="0"/>
        <c:axId val="11618"/>
        <c:axId val="9026"/>
      </c:barChart>
      <c:catAx>
        <c:axId val="1161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9026"/>
        <c:crosses val="autoZero"/>
        <c:auto val="1"/>
        <c:lblAlgn val="ctr"/>
        <c:lblOffset val="100"/>
      </c:catAx>
      <c:valAx>
        <c:axId val="902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1618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1</c:f>
              <c:strCache>
                <c:ptCount val="1"/>
                <c:pt idx="0">
                  <c:v>РА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2.2</c:v>
                </c:pt>
                <c:pt idx="1">
                  <c:v>28.1</c:v>
                </c:pt>
                <c:pt idx="2">
                  <c:v>52.5</c:v>
                </c:pt>
                <c:pt idx="3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label 0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1.6</c:v>
                </c:pt>
                <c:pt idx="1">
                  <c:v>24.1</c:v>
                </c:pt>
                <c:pt idx="2">
                  <c:v>53.2</c:v>
                </c:pt>
                <c:pt idx="3">
                  <c:v>21.2</c:v>
                </c:pt>
              </c:numCache>
            </c:numRef>
          </c:val>
        </c:ser>
        <c:gapWidth val="100"/>
        <c:overlap val="0"/>
        <c:axId val="30522"/>
        <c:axId val="29691"/>
      </c:barChart>
      <c:catAx>
        <c:axId val="3052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29691"/>
        <c:crosses val="autoZero"/>
        <c:auto val="1"/>
        <c:lblAlgn val="ctr"/>
        <c:lblOffset val="100"/>
      </c:catAx>
      <c:valAx>
        <c:axId val="2969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3052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«2»</c:v>
                </c:pt>
              </c:strCache>
            </c:strRef>
          </c:tx>
          <c:spPr>
            <a:solidFill>
              <a:srgbClr val="0084d1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2.2</c:v>
                </c:pt>
                <c:pt idx="1">
                  <c:v>3.1</c:v>
                </c:pt>
                <c:pt idx="2">
                  <c:v>1.4</c:v>
                </c:pt>
                <c:pt idx="3">
                  <c:v>3.3</c:v>
                </c:pt>
                <c:pt idx="4">
                  <c:v>3</c:v>
                </c:pt>
                <c:pt idx="5">
                  <c:v>1.6</c:v>
                </c:pt>
                <c:pt idx="6">
                  <c:v>0.6</c:v>
                </c:pt>
                <c:pt idx="7">
                  <c:v>1.4</c:v>
                </c:pt>
                <c:pt idx="8">
                  <c:v>2.6</c:v>
                </c:pt>
                <c:pt idx="9">
                  <c:v>2.1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«3»</c:v>
                </c:pt>
              </c:strCache>
            </c:strRef>
          </c:tx>
          <c:spPr>
            <a:solidFill>
              <a:srgbClr val="c5000b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28.1</c:v>
                </c:pt>
                <c:pt idx="1">
                  <c:v>37.9</c:v>
                </c:pt>
                <c:pt idx="2">
                  <c:v>38.2</c:v>
                </c:pt>
                <c:pt idx="3">
                  <c:v>27.8</c:v>
                </c:pt>
                <c:pt idx="4">
                  <c:v>36.7</c:v>
                </c:pt>
                <c:pt idx="5">
                  <c:v>29</c:v>
                </c:pt>
                <c:pt idx="6">
                  <c:v>41</c:v>
                </c:pt>
                <c:pt idx="7">
                  <c:v>20.7</c:v>
                </c:pt>
                <c:pt idx="8">
                  <c:v>32.1</c:v>
                </c:pt>
                <c:pt idx="9">
                  <c:v>19.5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«4»</c:v>
                </c:pt>
              </c:strCache>
            </c:strRef>
          </c:tx>
          <c:spPr>
            <a:solidFill>
              <a:srgbClr val="99cc66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0"/>
                <c:pt idx="0">
                  <c:v>52.5</c:v>
                </c:pt>
                <c:pt idx="1">
                  <c:v>46.3</c:v>
                </c:pt>
                <c:pt idx="2">
                  <c:v>44.6</c:v>
                </c:pt>
                <c:pt idx="3">
                  <c:v>54.2</c:v>
                </c:pt>
                <c:pt idx="4">
                  <c:v>50.3</c:v>
                </c:pt>
                <c:pt idx="5">
                  <c:v>56.1</c:v>
                </c:pt>
                <c:pt idx="6">
                  <c:v>46.4</c:v>
                </c:pt>
                <c:pt idx="7">
                  <c:v>54.3</c:v>
                </c:pt>
                <c:pt idx="8">
                  <c:v>48.7</c:v>
                </c:pt>
                <c:pt idx="9">
                  <c:v>54.7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9966cc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10"/>
                <c:pt idx="0">
                  <c:v>Республика Адыгея</c:v>
                </c:pt>
                <c:pt idx="1">
                  <c:v>Гиагинский район</c:v>
                </c:pt>
                <c:pt idx="2">
                  <c:v>Кошехабльский район</c:v>
                </c:pt>
                <c:pt idx="3">
                  <c:v>Красногвардейский район</c:v>
                </c:pt>
                <c:pt idx="4">
                  <c:v>Майкопский район</c:v>
                </c:pt>
                <c:pt idx="5">
                  <c:v>Тахтамукайский район</c:v>
                </c:pt>
                <c:pt idx="6">
                  <c:v>Теучежский район</c:v>
                </c:pt>
                <c:pt idx="7">
                  <c:v>Шовгеновский район</c:v>
                </c:pt>
                <c:pt idx="8">
                  <c:v>город Адыгейск</c:v>
                </c:pt>
                <c:pt idx="9">
                  <c:v>город Майкоп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0"/>
                <c:pt idx="0">
                  <c:v>17.2</c:v>
                </c:pt>
                <c:pt idx="1">
                  <c:v>12.7</c:v>
                </c:pt>
                <c:pt idx="2">
                  <c:v>15.9</c:v>
                </c:pt>
                <c:pt idx="3">
                  <c:v>14.7</c:v>
                </c:pt>
                <c:pt idx="4">
                  <c:v>10</c:v>
                </c:pt>
                <c:pt idx="5">
                  <c:v>13.4</c:v>
                </c:pt>
                <c:pt idx="6">
                  <c:v>12</c:v>
                </c:pt>
                <c:pt idx="7">
                  <c:v>23.6</c:v>
                </c:pt>
                <c:pt idx="8">
                  <c:v>16.7</c:v>
                </c:pt>
                <c:pt idx="9">
                  <c:v>23.7</c:v>
                </c:pt>
              </c:numCache>
            </c:numRef>
          </c:val>
        </c:ser>
        <c:gapWidth val="100"/>
        <c:overlap val="0"/>
        <c:axId val="1899"/>
        <c:axId val="5358"/>
      </c:barChart>
      <c:catAx>
        <c:axId val="1899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5358"/>
        <c:crosses val="autoZero"/>
        <c:auto val="1"/>
        <c:lblAlgn val="ctr"/>
        <c:lblOffset val="100"/>
      </c:catAx>
      <c:valAx>
        <c:axId val="535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crossAx val="189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42297</TotalTime>
  <Application>LibreOffice/4.3.2.2$Windows_x86 LibreOffice_project/edfb5295ba211bd31ad47d0bad0118690f76407d</Application>
  <Paragraphs>594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2016-05-23T15:48:35Z</dcterms:created>
  <dc:language>ru-RU</dc:language>
  <dcterms:modified xsi:type="dcterms:W3CDTF">2016-07-12T09:57:09Z</dcterms:modified>
  <cp:revision>97</cp:revision>
</cp:coreProperties>
</file>